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60118014" w:rsidR="00CD2511" w:rsidRPr="008262BE" w:rsidRDefault="009B02B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 xml:space="preserve">ATA Nº </w:t>
      </w:r>
      <w:r w:rsidR="001D519C" w:rsidRPr="008262BE">
        <w:rPr>
          <w:b/>
          <w:sz w:val="24"/>
          <w:szCs w:val="24"/>
        </w:rPr>
        <w:t>0</w:t>
      </w:r>
      <w:r w:rsidR="003F4A6D">
        <w:rPr>
          <w:b/>
          <w:sz w:val="24"/>
          <w:szCs w:val="24"/>
        </w:rPr>
        <w:t>4</w:t>
      </w:r>
      <w:r w:rsidRPr="008262BE">
        <w:rPr>
          <w:b/>
          <w:sz w:val="24"/>
          <w:szCs w:val="24"/>
        </w:rPr>
        <w:t>/202</w:t>
      </w:r>
      <w:r w:rsidR="001D519C" w:rsidRPr="008262BE">
        <w:rPr>
          <w:b/>
          <w:sz w:val="24"/>
          <w:szCs w:val="24"/>
        </w:rPr>
        <w:t>6</w:t>
      </w:r>
    </w:p>
    <w:p w14:paraId="00E2DDDE" w14:textId="77777777" w:rsidR="00224C30" w:rsidRPr="008262BE" w:rsidRDefault="00224C30" w:rsidP="008262BE">
      <w:pPr>
        <w:spacing w:line="276" w:lineRule="auto"/>
        <w:jc w:val="center"/>
        <w:rPr>
          <w:b/>
          <w:sz w:val="24"/>
          <w:szCs w:val="24"/>
        </w:rPr>
      </w:pPr>
    </w:p>
    <w:p w14:paraId="04F2262E" w14:textId="77777777" w:rsidR="001870CE" w:rsidRPr="008262BE" w:rsidRDefault="001870C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ATA DA REUNIÃO DO COMITÊ DE INVE</w:t>
      </w:r>
      <w:r w:rsidR="002861F3" w:rsidRPr="008262BE">
        <w:rPr>
          <w:b/>
          <w:sz w:val="24"/>
          <w:szCs w:val="24"/>
        </w:rPr>
        <w:t>STIMENTOS DO IPRESVEL</w:t>
      </w:r>
    </w:p>
    <w:p w14:paraId="75966E8A" w14:textId="431AB9E2" w:rsidR="00DF02CE" w:rsidRDefault="00620E8E" w:rsidP="00620E8E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620E8E">
        <w:rPr>
          <w:sz w:val="24"/>
          <w:szCs w:val="24"/>
        </w:rPr>
        <w:t xml:space="preserve">Aos vinte e nove dias do mês de abril do ano de dois mil e vinte e seis, reuniu-se o Comitê de Investimentos do Instituto de Previdência Social dos Servidores Públicos do Município de Salto Veloso – IPRESVEL, para análise da carteira de investimentos e deliberação acerca da recomendação apresentada pela assessoria de investimentos. Inicialmente, registrou-se que, em reunião técnica prévia, a assessoria sugeriu o resgate total dos fundos BB FIA Globais Institucional, Caixa FIA Institucional BDR Nível I, Safra FIA Consumo Americano PB BDR Nível I e XP MS CIC CIA Global </w:t>
      </w:r>
      <w:proofErr w:type="spellStart"/>
      <w:r w:rsidRPr="00620E8E">
        <w:rPr>
          <w:sz w:val="24"/>
          <w:szCs w:val="24"/>
        </w:rPr>
        <w:t>Opportunities</w:t>
      </w:r>
      <w:proofErr w:type="spellEnd"/>
      <w:r w:rsidRPr="00620E8E">
        <w:rPr>
          <w:sz w:val="24"/>
          <w:szCs w:val="24"/>
        </w:rPr>
        <w:t xml:space="preserve"> </w:t>
      </w:r>
      <w:proofErr w:type="spellStart"/>
      <w:r w:rsidRPr="00620E8E">
        <w:rPr>
          <w:sz w:val="24"/>
          <w:szCs w:val="24"/>
        </w:rPr>
        <w:t>Advisory</w:t>
      </w:r>
      <w:proofErr w:type="spellEnd"/>
      <w:r w:rsidRPr="00620E8E">
        <w:rPr>
          <w:sz w:val="24"/>
          <w:szCs w:val="24"/>
        </w:rPr>
        <w:t xml:space="preserve"> IE, com alocação integral dos recursos em títulos públicos federais, especialmente NTN-B 2030, conforme diretrizes constantes do Estudo de ALM.</w:t>
      </w:r>
      <w:r>
        <w:rPr>
          <w:sz w:val="24"/>
          <w:szCs w:val="24"/>
        </w:rPr>
        <w:t xml:space="preserve"> </w:t>
      </w:r>
      <w:r w:rsidRPr="00620E8E">
        <w:rPr>
          <w:sz w:val="24"/>
          <w:szCs w:val="24"/>
        </w:rPr>
        <w:t xml:space="preserve">Na sequência, procedeu-se à análise individual e consolidada dos ativos, considerando o desempenho desde a data de aplicação, a comparação com o CDI no mesmo período, a aderência à meta atuarial e a correlação entre os fundos. Constatou-se que os fundos Caixa FIA Institucional BDR Nível I e Safra FIA Consumo Americano PB BDR Nível I apresentaram desempenho superior ao CDI, enquanto os fundos BB FIA Globais Institucional e XP MS CIC CIA Global </w:t>
      </w:r>
      <w:proofErr w:type="spellStart"/>
      <w:r w:rsidRPr="00620E8E">
        <w:rPr>
          <w:sz w:val="24"/>
          <w:szCs w:val="24"/>
        </w:rPr>
        <w:t>Opportunities</w:t>
      </w:r>
      <w:proofErr w:type="spellEnd"/>
      <w:r w:rsidRPr="00620E8E">
        <w:rPr>
          <w:sz w:val="24"/>
          <w:szCs w:val="24"/>
        </w:rPr>
        <w:t xml:space="preserve"> </w:t>
      </w:r>
      <w:proofErr w:type="spellStart"/>
      <w:r w:rsidRPr="00620E8E">
        <w:rPr>
          <w:sz w:val="24"/>
          <w:szCs w:val="24"/>
        </w:rPr>
        <w:t>Advisory</w:t>
      </w:r>
      <w:proofErr w:type="spellEnd"/>
      <w:r w:rsidRPr="00620E8E">
        <w:rPr>
          <w:sz w:val="24"/>
          <w:szCs w:val="24"/>
        </w:rPr>
        <w:t xml:space="preserve"> IE ficaram aquém do benchmark, sendo este último o de pior resultado e maior concentração na carteira. Observou-se, ainda, elevada correlação entre os ativos analisados, com exposição econômica semelhante ao mercado global, notadamente ao mercado norte-americano, o que evidencia redundância de risco e reduz o benefício efetivo de diversificação.</w:t>
      </w:r>
      <w:r>
        <w:rPr>
          <w:sz w:val="24"/>
          <w:szCs w:val="24"/>
        </w:rPr>
        <w:t xml:space="preserve"> </w:t>
      </w:r>
      <w:r w:rsidRPr="00620E8E">
        <w:rPr>
          <w:sz w:val="24"/>
          <w:szCs w:val="24"/>
        </w:rPr>
        <w:t>Diante desse cenário, o Comitê entendeu que, embora a recomendação de resgate total esteja alinhada a uma postura conservadora, sua adoção imediata implicaria a realização integral de perdas em determinados ativos, especialmente em contexto de recente valorização dos mercados internacionais, o que poderia comprometer a eficiência da gestão. Considerou-se, ainda, que a carteira do IPRESVEL já apresenta predominância em ativos de renda fixa e títulos públicos, de modo que a manutenção de parcela residual em renda variável não compromete o perfil de risco do Instituto, sendo mais adequada a adoção de estratégia gradual de redução.</w:t>
      </w:r>
      <w:r>
        <w:rPr>
          <w:sz w:val="24"/>
          <w:szCs w:val="24"/>
        </w:rPr>
        <w:t xml:space="preserve"> </w:t>
      </w:r>
      <w:r w:rsidRPr="00620E8E">
        <w:rPr>
          <w:sz w:val="24"/>
          <w:szCs w:val="24"/>
        </w:rPr>
        <w:t xml:space="preserve">Assim, deliberou-se pela redução parcial da exposição, mediante resgate de R$ 150.000,00 (cento e cinquenta mil reais) do fundo BB FIA Globais Institucional, permanecendo saldo aproximado de R$ 9.694,41 (nove mil, seiscentos e noventa e quatro reais e quarenta e um centavos); resgate de R$ 50.000,00 (cinquenta mil reais) do fundo Caixa FIA Institucional </w:t>
      </w:r>
      <w:r w:rsidRPr="00620E8E">
        <w:rPr>
          <w:sz w:val="24"/>
          <w:szCs w:val="24"/>
        </w:rPr>
        <w:lastRenderedPageBreak/>
        <w:t xml:space="preserve">BDR Nível I, permanecendo saldo aproximado de R$ 108.618,66 (cento e oito mil, seiscentos e dezoito reais e sessenta e seis centavos); resgate de R$ 30.000,00 (trinta mil reais) do fundo Safra FIA Consumo Americano PB BDR Nível I, permanecendo saldo aproximado de R$ 21.711,13 (vinte e um mil, setecentos e onze reais e treze centavos); e resgate de R$ 270.000,00 (duzentos e setenta mil reais) do fundo XP MS CIC CIA Global </w:t>
      </w:r>
      <w:proofErr w:type="spellStart"/>
      <w:r w:rsidRPr="00620E8E">
        <w:rPr>
          <w:sz w:val="24"/>
          <w:szCs w:val="24"/>
        </w:rPr>
        <w:t>Opportunities</w:t>
      </w:r>
      <w:proofErr w:type="spellEnd"/>
      <w:r w:rsidRPr="00620E8E">
        <w:rPr>
          <w:sz w:val="24"/>
          <w:szCs w:val="24"/>
        </w:rPr>
        <w:t xml:space="preserve"> </w:t>
      </w:r>
      <w:proofErr w:type="spellStart"/>
      <w:r w:rsidRPr="00620E8E">
        <w:rPr>
          <w:sz w:val="24"/>
          <w:szCs w:val="24"/>
        </w:rPr>
        <w:t>Advisory</w:t>
      </w:r>
      <w:proofErr w:type="spellEnd"/>
      <w:r w:rsidRPr="00620E8E">
        <w:rPr>
          <w:sz w:val="24"/>
          <w:szCs w:val="24"/>
        </w:rPr>
        <w:t xml:space="preserve"> IE, permanecendo saldo aproximado de R$ 206.927,41 (duzentos e seis mil, novecentos e vinte e sete reais e quarenta e um centavos), totalizando resgates no montante de R$ 500.000,00 (quinhentos mil reais).</w:t>
      </w:r>
      <w:r>
        <w:rPr>
          <w:sz w:val="24"/>
          <w:szCs w:val="24"/>
        </w:rPr>
        <w:t xml:space="preserve"> </w:t>
      </w:r>
      <w:r w:rsidRPr="00620E8E">
        <w:rPr>
          <w:sz w:val="24"/>
          <w:szCs w:val="24"/>
        </w:rPr>
        <w:t xml:space="preserve">No que se refere à destinação dos recursos, deliberou-se que o montante de R$ 87.500,00 (oitenta e sete mil e quinhentos reais) será utilizado para atendimento da primeira chamada de capital do </w:t>
      </w:r>
      <w:proofErr w:type="spellStart"/>
      <w:r w:rsidRPr="00620E8E">
        <w:rPr>
          <w:sz w:val="24"/>
          <w:szCs w:val="24"/>
        </w:rPr>
        <w:t>Tarpon</w:t>
      </w:r>
      <w:proofErr w:type="spellEnd"/>
      <w:r w:rsidRPr="00620E8E">
        <w:rPr>
          <w:sz w:val="24"/>
          <w:szCs w:val="24"/>
        </w:rPr>
        <w:t xml:space="preserve"> </w:t>
      </w:r>
      <w:proofErr w:type="spellStart"/>
      <w:r w:rsidRPr="00620E8E">
        <w:rPr>
          <w:sz w:val="24"/>
          <w:szCs w:val="24"/>
        </w:rPr>
        <w:t>Bluefin</w:t>
      </w:r>
      <w:proofErr w:type="spellEnd"/>
      <w:r w:rsidRPr="00620E8E">
        <w:rPr>
          <w:sz w:val="24"/>
          <w:szCs w:val="24"/>
        </w:rPr>
        <w:t xml:space="preserve"> Private Fundo de Investimento em Cotas de FIP </w:t>
      </w:r>
      <w:proofErr w:type="spellStart"/>
      <w:r w:rsidRPr="00620E8E">
        <w:rPr>
          <w:sz w:val="24"/>
          <w:szCs w:val="24"/>
        </w:rPr>
        <w:t>Multiestratégia</w:t>
      </w:r>
      <w:proofErr w:type="spellEnd"/>
      <w:r w:rsidRPr="00620E8E">
        <w:rPr>
          <w:sz w:val="24"/>
          <w:szCs w:val="24"/>
        </w:rPr>
        <w:t xml:space="preserve"> Responsabilidade Limitada, compromisso previamente assumido pelo Instituto, com prazo de integralização até quatro de maio de dois mil e vinte e seis, e que o valor remanescente de R$ 412.500,00 (quatrocentos e doze mil e quinhentos reais) será aplicado no fundo XP FIC Trend Pós-Fixado Simples, em observância à necessidade de manutenção de liquidez para futuras chamadas de capital do FIP, conforme orientação constante na manifestação da assessoria de investimentos.</w:t>
      </w:r>
      <w:r>
        <w:rPr>
          <w:sz w:val="24"/>
          <w:szCs w:val="24"/>
        </w:rPr>
        <w:t xml:space="preserve"> </w:t>
      </w:r>
      <w:r w:rsidRPr="00620E8E">
        <w:rPr>
          <w:sz w:val="24"/>
          <w:szCs w:val="24"/>
        </w:rPr>
        <w:t>Por fim, deliberou-se que a presente decisão será encaminhada ao Conselho Administrativo do IPRESVEL para apreciação e aprovação, previamente à execução das movimentações, mantendo-se o acompanhamento contínuo da carteira e a possibilidade de novas revisões conforme evolução do cenário econômico, desempenho dos ativos e diretrizes regulatórias aplicáveis. Nada mais havendo a tratar, foi encerrada a reunião, lavrando-se a presente ata, que após lida e aprovada, segue assinada pelos membros presentes.</w:t>
      </w:r>
    </w:p>
    <w:p w14:paraId="60124933" w14:textId="271BA78F" w:rsidR="00DE7838" w:rsidRPr="008262BE" w:rsidRDefault="00DE7838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TÂNIA GIACOMIN DE BORTOLI</w:t>
      </w:r>
    </w:p>
    <w:p w14:paraId="5F590253" w14:textId="7A02076E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rFonts w:eastAsiaTheme="minorHAnsi"/>
          <w:sz w:val="24"/>
          <w:szCs w:val="24"/>
          <w:lang w:eastAsia="en-US"/>
        </w:rPr>
        <w:t>CP RPPS DIRIG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rFonts w:eastAsiaTheme="minorHAnsi"/>
          <w:sz w:val="24"/>
          <w:szCs w:val="24"/>
          <w:lang w:eastAsia="en-US"/>
        </w:rPr>
        <w:t>CP RPPS CGINV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sz w:val="24"/>
          <w:szCs w:val="24"/>
        </w:rPr>
        <w:t>ANBIMA CPA 20</w:t>
      </w:r>
    </w:p>
    <w:p w14:paraId="61C5BE21" w14:textId="63E34E71" w:rsidR="00FA6ABD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Diretora-Exec</w:t>
      </w:r>
      <w:r w:rsidR="00FA6ABD" w:rsidRPr="008262BE">
        <w:rPr>
          <w:sz w:val="24"/>
          <w:szCs w:val="24"/>
        </w:rPr>
        <w:t>utiva do IPRESVEL e membro do Comitê de Investimentos</w:t>
      </w:r>
    </w:p>
    <w:p w14:paraId="38400B40" w14:textId="3B37D47C" w:rsidR="00E032C1" w:rsidRPr="008262BE" w:rsidRDefault="00E032C1" w:rsidP="008262BE">
      <w:pPr>
        <w:spacing w:line="276" w:lineRule="auto"/>
        <w:jc w:val="center"/>
        <w:rPr>
          <w:sz w:val="24"/>
          <w:szCs w:val="24"/>
        </w:rPr>
      </w:pPr>
    </w:p>
    <w:p w14:paraId="0BFC5AD0" w14:textId="77777777" w:rsidR="00480B49" w:rsidRPr="008262BE" w:rsidRDefault="00480B49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SAMUEL MIRANDA FERREIRA</w:t>
      </w:r>
    </w:p>
    <w:p w14:paraId="5BD510FC" w14:textId="24ED6614" w:rsidR="00480B49" w:rsidRPr="008262BE" w:rsidRDefault="00480B49" w:rsidP="008262BE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8262BE">
        <w:rPr>
          <w:rFonts w:eastAsiaTheme="minorHAnsi"/>
          <w:sz w:val="24"/>
          <w:szCs w:val="24"/>
          <w:lang w:eastAsia="en-US"/>
        </w:rPr>
        <w:t>CP RPPS CGINV I</w:t>
      </w:r>
    </w:p>
    <w:p w14:paraId="22B0F70A" w14:textId="77777777" w:rsidR="00754BFF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p w14:paraId="7AC6CED3" w14:textId="02B19B5B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</w:p>
    <w:p w14:paraId="37F979A7" w14:textId="4F585EA0" w:rsidR="00480B49" w:rsidRDefault="005C6236" w:rsidP="008262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LUCAS GIACOMIN</w:t>
      </w:r>
    </w:p>
    <w:p w14:paraId="1A80D00E" w14:textId="0826ED52" w:rsidR="00620E8E" w:rsidRPr="008262BE" w:rsidRDefault="005C6236" w:rsidP="005C6236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8262BE">
        <w:rPr>
          <w:rFonts w:eastAsiaTheme="minorHAnsi"/>
          <w:sz w:val="24"/>
          <w:szCs w:val="24"/>
          <w:lang w:eastAsia="en-US"/>
        </w:rPr>
        <w:t>CP RPPS CGINV I</w:t>
      </w:r>
      <w:r w:rsidR="00620E8E">
        <w:rPr>
          <w:rFonts w:eastAsiaTheme="minorHAnsi"/>
          <w:sz w:val="24"/>
          <w:szCs w:val="24"/>
          <w:lang w:eastAsia="en-US"/>
        </w:rPr>
        <w:t>/CP RPPS CODEL I</w:t>
      </w:r>
    </w:p>
    <w:p w14:paraId="3B4CFA0E" w14:textId="1E30ECAA" w:rsidR="00FB6808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sectPr w:rsidR="00FB6808" w:rsidRPr="008262BE" w:rsidSect="00620E8E">
      <w:headerReference w:type="default" r:id="rId8"/>
      <w:footerReference w:type="default" r:id="rId9"/>
      <w:pgSz w:w="11906" w:h="16838"/>
      <w:pgMar w:top="757" w:right="1416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519C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4A6D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5EC4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23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0E8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25FAB"/>
    <w:rsid w:val="00732CF2"/>
    <w:rsid w:val="007345FA"/>
    <w:rsid w:val="00735903"/>
    <w:rsid w:val="007362CD"/>
    <w:rsid w:val="00736305"/>
    <w:rsid w:val="007373CD"/>
    <w:rsid w:val="00753D81"/>
    <w:rsid w:val="00754BFF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262BE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79F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2CE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A6ABD"/>
    <w:rsid w:val="00FB05D3"/>
    <w:rsid w:val="00FB2260"/>
    <w:rsid w:val="00FB291A"/>
    <w:rsid w:val="00FB3F6C"/>
    <w:rsid w:val="00FB6808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6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FB68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1D519C"/>
  </w:style>
  <w:style w:type="character" w:customStyle="1" w:styleId="relative">
    <w:name w:val="relative"/>
    <w:basedOn w:val="Fontepargpadro"/>
    <w:rsid w:val="001D519C"/>
  </w:style>
  <w:style w:type="paragraph" w:customStyle="1" w:styleId="not-prose">
    <w:name w:val="not-prose"/>
    <w:basedOn w:val="Normal"/>
    <w:rsid w:val="001D51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2026-04-27T18:02:00Z</cp:lastPrinted>
  <dcterms:created xsi:type="dcterms:W3CDTF">2026-04-28T16:24:00Z</dcterms:created>
  <dcterms:modified xsi:type="dcterms:W3CDTF">2026-04-28T18:28:00Z</dcterms:modified>
</cp:coreProperties>
</file>