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BE7BD8">
        <w:rPr>
          <w:b/>
          <w:sz w:val="24"/>
          <w:szCs w:val="24"/>
        </w:rPr>
        <w:t>0</w:t>
      </w:r>
      <w:r w:rsidR="00E21EBD">
        <w:rPr>
          <w:b/>
          <w:sz w:val="24"/>
          <w:szCs w:val="24"/>
        </w:rPr>
        <w:t>2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BE7BD8">
        <w:rPr>
          <w:b/>
          <w:sz w:val="24"/>
          <w:szCs w:val="24"/>
        </w:rPr>
        <w:t>5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BE7BD8" w:rsidRPr="00BE7BD8" w:rsidRDefault="00E21EBD" w:rsidP="00E21EBD">
      <w:pPr>
        <w:spacing w:before="100" w:beforeAutospacing="1" w:after="100" w:afterAutospacing="1"/>
        <w:jc w:val="both"/>
        <w:rPr>
          <w:sz w:val="22"/>
          <w:szCs w:val="22"/>
        </w:rPr>
      </w:pPr>
      <w:r w:rsidRPr="00E21EBD">
        <w:rPr>
          <w:sz w:val="24"/>
          <w:szCs w:val="24"/>
        </w:rPr>
        <w:t xml:space="preserve">Aos doze dias do mês de fevereiro do ano de dois mil e vinte e cinco, reuniram-se os membros do Conselho Fiscal para reunião ordinária. A Diretora-Executiva, Sra. Tânia, saudou a todos e apresentou os demonstrativos financeiros e contábeis referentes ao exercício de 2024, detalhando receitas, despesas e a evolução patrimonial. Após análise dos documentos e esclarecimento de dúvidas, o Conselho Fiscal </w:t>
      </w:r>
      <w:r w:rsidRPr="00E21EBD">
        <w:rPr>
          <w:bCs/>
          <w:sz w:val="24"/>
          <w:szCs w:val="24"/>
        </w:rPr>
        <w:t>deliberou pela aprovação das contas do exercício de 2024</w:t>
      </w:r>
      <w:r w:rsidRPr="00E21EBD">
        <w:rPr>
          <w:sz w:val="24"/>
          <w:szCs w:val="24"/>
        </w:rPr>
        <w:t xml:space="preserve">, emitindo o </w:t>
      </w:r>
      <w:r w:rsidRPr="00E21EBD">
        <w:rPr>
          <w:bCs/>
          <w:sz w:val="24"/>
          <w:szCs w:val="24"/>
        </w:rPr>
        <w:t>Parecer nº 01/2025</w:t>
      </w:r>
      <w:r w:rsidRPr="00E21EBD">
        <w:rPr>
          <w:sz w:val="24"/>
          <w:szCs w:val="24"/>
        </w:rPr>
        <w:t>, que recomenda a aprovação da Prestação de Contas pelo Conselho Administrativo.</w:t>
      </w:r>
      <w:r>
        <w:rPr>
          <w:sz w:val="24"/>
          <w:szCs w:val="24"/>
        </w:rPr>
        <w:t xml:space="preserve"> </w:t>
      </w:r>
      <w:r w:rsidRPr="00E21EBD">
        <w:rPr>
          <w:sz w:val="24"/>
          <w:szCs w:val="24"/>
        </w:rPr>
        <w:t>Na sequência, foi apresentado o Regimento Interno dos Conselhos Administrativo e Fiscal, que também foi analisado e aprovado pelo Conselho Fiscal.</w:t>
      </w:r>
      <w:r>
        <w:rPr>
          <w:sz w:val="24"/>
          <w:szCs w:val="24"/>
        </w:rPr>
        <w:t xml:space="preserve"> </w:t>
      </w:r>
      <w:r w:rsidRPr="00E21EBD">
        <w:rPr>
          <w:sz w:val="24"/>
          <w:szCs w:val="24"/>
        </w:rPr>
        <w:t>A Diretora-Executiva relatou, ainda, a visita do Banco Bradesco em quinze de janeiro, na qual foram discutidas as perspectivas do mercado financeiro e reafirmado o compromisso da instituição em apoiar a gestão dos investimentos. Foram também reportadas as reuniões online com as gestoras Guepardo e Empire Capital, abordando o acompanhamento dos investimentos e estratégias diante do cenário macroeconômico. Além disso, foram apresentados os rendimentos do mês de janeiro, destacando a volatilidade da renda variável, e exposto o mapeamento da arrecadação, etapa necessária para a Certificação do Pró-Gestão.</w:t>
      </w:r>
      <w:r>
        <w:rPr>
          <w:sz w:val="24"/>
          <w:szCs w:val="24"/>
        </w:rPr>
        <w:t xml:space="preserve"> </w:t>
      </w:r>
      <w:r w:rsidRPr="00E21EBD">
        <w:rPr>
          <w:sz w:val="24"/>
          <w:szCs w:val="24"/>
        </w:rPr>
        <w:t xml:space="preserve">Por fim, a Diretora-Executiva informou sobre os eventos previstos na agenda do Instituto, sendo eles: o </w:t>
      </w:r>
      <w:r w:rsidRPr="00E21EBD">
        <w:rPr>
          <w:bCs/>
          <w:sz w:val="24"/>
          <w:szCs w:val="24"/>
        </w:rPr>
        <w:t>7º Congresso Brasileiro de Investimentos e o 14º Congresso Estadual da ASSIMPASC</w:t>
      </w:r>
      <w:r w:rsidRPr="00E21EBD">
        <w:rPr>
          <w:sz w:val="24"/>
          <w:szCs w:val="24"/>
        </w:rPr>
        <w:t xml:space="preserve">, que ocorrerão entre os dias 12 e 14 de março na capital do estado, e o </w:t>
      </w:r>
      <w:r w:rsidRPr="00E21EBD">
        <w:rPr>
          <w:bCs/>
          <w:sz w:val="24"/>
          <w:szCs w:val="24"/>
        </w:rPr>
        <w:t>Encontro Estadual ASSIMPASC entre RPPS de Santa Catarina</w:t>
      </w:r>
      <w:r w:rsidRPr="00E21EBD">
        <w:rPr>
          <w:sz w:val="24"/>
          <w:szCs w:val="24"/>
        </w:rPr>
        <w:t>, programado para os dias 14 e 15 de abril, em Balneário Camboriú.</w:t>
      </w:r>
      <w:r>
        <w:rPr>
          <w:sz w:val="24"/>
          <w:szCs w:val="24"/>
        </w:rPr>
        <w:t xml:space="preserve"> </w:t>
      </w:r>
      <w:r w:rsidRPr="00E21EBD">
        <w:rPr>
          <w:sz w:val="24"/>
          <w:szCs w:val="24"/>
        </w:rPr>
        <w:t>Nada mais havendo a tratar, deu-se por encerrada a reunião, da qual foi lavrada a presente ata, que segue assinada pelos presentes.</w:t>
      </w:r>
      <w:r>
        <w:rPr>
          <w:sz w:val="24"/>
          <w:szCs w:val="24"/>
        </w:rPr>
        <w:t xml:space="preserve"> </w:t>
      </w: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832B6C" w:rsidRDefault="00832B6C" w:rsidP="00832B6C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4D74F4" w:rsidRDefault="004D74F4" w:rsidP="00832B6C">
      <w:pPr>
        <w:jc w:val="center"/>
        <w:rPr>
          <w:b/>
          <w:sz w:val="24"/>
          <w:szCs w:val="24"/>
        </w:rPr>
      </w:pPr>
    </w:p>
    <w:p w:rsidR="004D74F4" w:rsidRPr="00903B3D" w:rsidRDefault="004D74F4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8A1CCB" w:rsidRPr="00903B3D" w:rsidRDefault="008A1CCB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Default="00832B6C" w:rsidP="00832B6C">
      <w:pPr>
        <w:jc w:val="center"/>
        <w:rPr>
          <w:sz w:val="24"/>
          <w:szCs w:val="24"/>
        </w:rPr>
      </w:pPr>
    </w:p>
    <w:p w:rsidR="008A1CCB" w:rsidRPr="00903B3D" w:rsidRDefault="008A1CCB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EC4C93" w:rsidRPr="00D63D5B" w:rsidRDefault="00832B6C" w:rsidP="001311AF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sectPr w:rsidR="00EC4C93" w:rsidRPr="00D63D5B" w:rsidSect="00832B6C">
      <w:headerReference w:type="default" r:id="rId8"/>
      <w:footerReference w:type="default" r:id="rId9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453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A44CE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45EB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1FFE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1703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4A8F"/>
    <w:rsid w:val="008974B9"/>
    <w:rsid w:val="008A1CCB"/>
    <w:rsid w:val="008A5E11"/>
    <w:rsid w:val="008A62C8"/>
    <w:rsid w:val="008B61CA"/>
    <w:rsid w:val="008C1D69"/>
    <w:rsid w:val="008C616B"/>
    <w:rsid w:val="008E19A9"/>
    <w:rsid w:val="008F2301"/>
    <w:rsid w:val="008F7B29"/>
    <w:rsid w:val="0090356B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742B"/>
    <w:rsid w:val="009A275F"/>
    <w:rsid w:val="009A6AA4"/>
    <w:rsid w:val="009B2A42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BE7BD8"/>
    <w:rsid w:val="00C10995"/>
    <w:rsid w:val="00C33128"/>
    <w:rsid w:val="00C41AB1"/>
    <w:rsid w:val="00C5521B"/>
    <w:rsid w:val="00C559CA"/>
    <w:rsid w:val="00C5749B"/>
    <w:rsid w:val="00C662D7"/>
    <w:rsid w:val="00C66E56"/>
    <w:rsid w:val="00C73673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04FA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4624A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96A19"/>
    <w:rsid w:val="00DA77A0"/>
    <w:rsid w:val="00DA793A"/>
    <w:rsid w:val="00DC144D"/>
    <w:rsid w:val="00DE23A2"/>
    <w:rsid w:val="00DE3438"/>
    <w:rsid w:val="00DE5860"/>
    <w:rsid w:val="00DF15B0"/>
    <w:rsid w:val="00DF5CD2"/>
    <w:rsid w:val="00E00240"/>
    <w:rsid w:val="00E04EB7"/>
    <w:rsid w:val="00E05B49"/>
    <w:rsid w:val="00E05D4B"/>
    <w:rsid w:val="00E10D86"/>
    <w:rsid w:val="00E15B41"/>
    <w:rsid w:val="00E16EED"/>
    <w:rsid w:val="00E21EB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3E6156B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AC48F-63E5-48F8-A53D-691801F6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45</cp:revision>
  <cp:lastPrinted>2023-10-26T11:54:00Z</cp:lastPrinted>
  <dcterms:created xsi:type="dcterms:W3CDTF">2023-06-20T18:01:00Z</dcterms:created>
  <dcterms:modified xsi:type="dcterms:W3CDTF">2025-02-18T12:09:00Z</dcterms:modified>
</cp:coreProperties>
</file>