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8C1D69">
        <w:rPr>
          <w:b/>
          <w:sz w:val="24"/>
          <w:szCs w:val="24"/>
        </w:rPr>
        <w:t>7</w:t>
      </w:r>
      <w:bookmarkStart w:id="0" w:name="_GoBack"/>
      <w:bookmarkEnd w:id="0"/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Pr="007C52FF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sete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junho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A Diretora-Executiva, Tânia Giacomin De Bortoli saudou a todos </w:t>
      </w:r>
      <w:r>
        <w:rPr>
          <w:sz w:val="24"/>
          <w:szCs w:val="24"/>
        </w:rPr>
        <w:t>e passou a</w:t>
      </w:r>
      <w:r w:rsidRPr="007C52FF">
        <w:rPr>
          <w:sz w:val="24"/>
          <w:szCs w:val="24"/>
        </w:rPr>
        <w:t xml:space="preserve"> apresentar o balancete do mês 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maio </w:t>
      </w:r>
      <w:r w:rsidRPr="007C52FF">
        <w:rPr>
          <w:sz w:val="24"/>
          <w:szCs w:val="24"/>
        </w:rPr>
        <w:t xml:space="preserve">do ano de dois mil e vinte e </w:t>
      </w:r>
      <w:r>
        <w:rPr>
          <w:sz w:val="24"/>
          <w:szCs w:val="24"/>
        </w:rPr>
        <w:t>três</w:t>
      </w:r>
      <w:r w:rsidRPr="007C52FF">
        <w:rPr>
          <w:sz w:val="24"/>
          <w:szCs w:val="24"/>
        </w:rPr>
        <w:t xml:space="preserve">, com suas respectivas Receitas e Despesas, bem como </w:t>
      </w:r>
      <w:r w:rsidRPr="00E66695">
        <w:rPr>
          <w:sz w:val="24"/>
          <w:szCs w:val="24"/>
        </w:rPr>
        <w:t xml:space="preserve">o relatório de gestão de investimentos do mês de </w:t>
      </w:r>
      <w:r>
        <w:rPr>
          <w:sz w:val="24"/>
          <w:szCs w:val="24"/>
        </w:rPr>
        <w:t>maio,</w:t>
      </w:r>
      <w:r w:rsidRPr="00E66695">
        <w:rPr>
          <w:sz w:val="24"/>
          <w:szCs w:val="24"/>
        </w:rPr>
        <w:t xml:space="preserve"> </w:t>
      </w:r>
      <w:r>
        <w:rPr>
          <w:sz w:val="24"/>
          <w:szCs w:val="24"/>
        </w:rPr>
        <w:t>onde a rentabilidade da meta</w:t>
      </w:r>
      <w:r w:rsidRPr="007C52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fechou em setenta e sete centésimos, e a rentabilidade da carteira no período fechou em um inteiro e quarenta e um centésimos por cento, totalizando trinta e seis milhões, quatrocentos e oitenta e quatro mil e noventa e um reais e sessenta centavos. O retorno no mês ficou, </w:t>
      </w:r>
      <w:r w:rsidRPr="00B25527">
        <w:rPr>
          <w:sz w:val="24"/>
          <w:szCs w:val="24"/>
        </w:rPr>
        <w:t>portanto,</w:t>
      </w:r>
      <w:r>
        <w:rPr>
          <w:sz w:val="24"/>
          <w:szCs w:val="24"/>
        </w:rPr>
        <w:t xml:space="preserve"> acima</w:t>
      </w:r>
      <w:r w:rsidRPr="00B25527">
        <w:rPr>
          <w:sz w:val="24"/>
          <w:szCs w:val="24"/>
        </w:rPr>
        <w:t xml:space="preserve"> da ren</w:t>
      </w:r>
      <w:r>
        <w:rPr>
          <w:sz w:val="24"/>
          <w:szCs w:val="24"/>
        </w:rPr>
        <w:t>tabilidade esperada para o período. A carteira acumulada do ano apresenta rentabilidade de cinco inteiros e sessenta e um centésimos por cento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F7357">
        <w:rPr>
          <w:sz w:val="24"/>
          <w:szCs w:val="24"/>
        </w:rPr>
        <w:t>Consentidos os relatórios e n</w:t>
      </w:r>
      <w:r w:rsidR="004A1357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5C34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1CCB"/>
    <w:rsid w:val="008A5E11"/>
    <w:rsid w:val="008C1D6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2DFD83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77CC-63B6-43EC-9825-1530B4D5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8</cp:revision>
  <cp:lastPrinted>2023-02-15T13:28:00Z</cp:lastPrinted>
  <dcterms:created xsi:type="dcterms:W3CDTF">2023-06-20T18:01:00Z</dcterms:created>
  <dcterms:modified xsi:type="dcterms:W3CDTF">2023-07-04T13:14:00Z</dcterms:modified>
</cp:coreProperties>
</file>