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C13528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D29A5">
        <w:rPr>
          <w:sz w:val="24"/>
          <w:szCs w:val="24"/>
        </w:rPr>
        <w:t xml:space="preserve">vinte e </w:t>
      </w:r>
      <w:r w:rsidR="004F3D70">
        <w:rPr>
          <w:sz w:val="24"/>
          <w:szCs w:val="24"/>
        </w:rPr>
        <w:t>três</w:t>
      </w:r>
      <w:r w:rsidR="00090DEF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4F3D70">
        <w:rPr>
          <w:sz w:val="24"/>
          <w:szCs w:val="24"/>
        </w:rPr>
        <w:t>abril</w:t>
      </w:r>
      <w:r w:rsidR="009D29A5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8C02AD" w:rsidRPr="00EF6EA4">
        <w:rPr>
          <w:sz w:val="24"/>
          <w:szCs w:val="24"/>
        </w:rPr>
        <w:t xml:space="preserve">ordinária. </w:t>
      </w:r>
      <w:r w:rsidR="005A616B" w:rsidRPr="00EF6EA4">
        <w:rPr>
          <w:sz w:val="24"/>
          <w:szCs w:val="24"/>
        </w:rPr>
        <w:t xml:space="preserve">A Diretora-Executiva, Tânia Giacomin De Bortoli saudou a todos </w:t>
      </w:r>
      <w:r w:rsidR="005A616B">
        <w:rPr>
          <w:sz w:val="24"/>
          <w:szCs w:val="24"/>
        </w:rPr>
        <w:t xml:space="preserve">e </w:t>
      </w:r>
      <w:r w:rsidR="00203E99">
        <w:rPr>
          <w:sz w:val="24"/>
          <w:szCs w:val="24"/>
        </w:rPr>
        <w:t xml:space="preserve">passou a apresentar o relatório de gestão de investimentos do mês de </w:t>
      </w:r>
      <w:r w:rsidR="004F3D70">
        <w:rPr>
          <w:sz w:val="24"/>
          <w:szCs w:val="24"/>
        </w:rPr>
        <w:t>março</w:t>
      </w:r>
      <w:r w:rsidR="00203E99">
        <w:rPr>
          <w:sz w:val="24"/>
          <w:szCs w:val="24"/>
        </w:rPr>
        <w:t xml:space="preserve">, onde a rentabilidade da carteira </w:t>
      </w:r>
      <w:r w:rsidR="009D29A5">
        <w:rPr>
          <w:sz w:val="24"/>
          <w:szCs w:val="24"/>
        </w:rPr>
        <w:t>foi de nove</w:t>
      </w:r>
      <w:r w:rsidR="004F3D70">
        <w:rPr>
          <w:sz w:val="24"/>
          <w:szCs w:val="24"/>
        </w:rPr>
        <w:t>nta e seis</w:t>
      </w:r>
      <w:r w:rsidR="009D29A5">
        <w:rPr>
          <w:sz w:val="24"/>
          <w:szCs w:val="24"/>
        </w:rPr>
        <w:t xml:space="preserve"> centésimos por cento no mês. O patrimônio líquido do Instituto é</w:t>
      </w:r>
      <w:r w:rsidR="004F3D70" w:rsidRPr="004F3D70">
        <w:rPr>
          <w:sz w:val="24"/>
          <w:szCs w:val="24"/>
        </w:rPr>
        <w:t xml:space="preserve"> </w:t>
      </w:r>
      <w:r w:rsidR="004F3D70">
        <w:rPr>
          <w:sz w:val="24"/>
          <w:szCs w:val="24"/>
        </w:rPr>
        <w:t>quarenta milhões, trezentos e trinta e três mil e noventa e dois reais com dez centavos</w:t>
      </w:r>
      <w:r w:rsidR="006A766B">
        <w:rPr>
          <w:sz w:val="24"/>
          <w:szCs w:val="24"/>
        </w:rPr>
        <w:t>. Apresentou ainda o plano de ação para o ano de 2024</w:t>
      </w:r>
      <w:r w:rsidR="00281E73">
        <w:rPr>
          <w:sz w:val="24"/>
          <w:szCs w:val="24"/>
        </w:rPr>
        <w:t xml:space="preserve"> que foi analisado e obteve a </w:t>
      </w:r>
      <w:r w:rsidR="009D29A5">
        <w:rPr>
          <w:sz w:val="24"/>
          <w:szCs w:val="24"/>
        </w:rPr>
        <w:t>aprovação pelo Conselho</w:t>
      </w:r>
      <w:r w:rsidR="004F3D70">
        <w:rPr>
          <w:sz w:val="24"/>
          <w:szCs w:val="24"/>
        </w:rPr>
        <w:t>.</w:t>
      </w:r>
      <w:r w:rsidR="002D22CB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  <w:bookmarkStart w:id="0" w:name="_GoBack"/>
      <w:bookmarkEnd w:id="0"/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426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66B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900C76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3BDC-C502-4E3C-8C72-3BED0D13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71</cp:revision>
  <cp:lastPrinted>2023-07-04T13:08:00Z</cp:lastPrinted>
  <dcterms:created xsi:type="dcterms:W3CDTF">2023-06-20T14:15:00Z</dcterms:created>
  <dcterms:modified xsi:type="dcterms:W3CDTF">2024-05-27T17:02:00Z</dcterms:modified>
</cp:coreProperties>
</file>