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D96A19">
        <w:rPr>
          <w:b/>
          <w:sz w:val="24"/>
          <w:szCs w:val="24"/>
        </w:rPr>
        <w:t>0</w:t>
      </w:r>
      <w:r w:rsidR="00933554">
        <w:rPr>
          <w:b/>
          <w:sz w:val="24"/>
          <w:szCs w:val="24"/>
        </w:rPr>
        <w:t>6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4F198C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>dezoito</w:t>
      </w:r>
      <w:r w:rsidR="00971594">
        <w:rPr>
          <w:sz w:val="24"/>
          <w:szCs w:val="24"/>
        </w:rPr>
        <w:t xml:space="preserve"> </w:t>
      </w:r>
      <w:r w:rsidR="007E656D"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junho</w:t>
      </w:r>
      <w:r w:rsidR="007E656D" w:rsidRPr="00EF6EA4">
        <w:rPr>
          <w:sz w:val="24"/>
          <w:szCs w:val="24"/>
        </w:rPr>
        <w:t xml:space="preserve"> do ano de dois mil e vinte e </w:t>
      </w:r>
      <w:r w:rsidR="00305B7C">
        <w:rPr>
          <w:sz w:val="24"/>
          <w:szCs w:val="24"/>
        </w:rPr>
        <w:t>quatro</w:t>
      </w:r>
      <w:r w:rsidR="007E656D" w:rsidRPr="00EF6EA4">
        <w:rPr>
          <w:sz w:val="24"/>
          <w:szCs w:val="24"/>
        </w:rPr>
        <w:t xml:space="preserve">, em sua sede, à Travessa das Flores, cinquenta e oito, centro, reuniram-se os membros do Conselho </w:t>
      </w:r>
      <w:r w:rsidR="007E656D">
        <w:rPr>
          <w:sz w:val="24"/>
          <w:szCs w:val="24"/>
        </w:rPr>
        <w:t>Fiscal</w:t>
      </w:r>
      <w:r w:rsidR="007E656D" w:rsidRPr="00EF6EA4">
        <w:rPr>
          <w:sz w:val="24"/>
          <w:szCs w:val="24"/>
        </w:rPr>
        <w:t xml:space="preserve"> para reunião ordinária. </w:t>
      </w:r>
      <w:r w:rsidR="00DF15B0">
        <w:rPr>
          <w:sz w:val="24"/>
          <w:szCs w:val="24"/>
        </w:rPr>
        <w:t xml:space="preserve">A Diretora-Executiva, Tânia Giacomin De Bortoli saudou a todos e passou a apresentar o balancete do mês de </w:t>
      </w:r>
      <w:r>
        <w:rPr>
          <w:sz w:val="24"/>
          <w:szCs w:val="24"/>
        </w:rPr>
        <w:t>maio</w:t>
      </w:r>
      <w:r w:rsidR="00DF15B0">
        <w:rPr>
          <w:sz w:val="24"/>
          <w:szCs w:val="24"/>
        </w:rPr>
        <w:t xml:space="preserve"> do ano de dois mil e vinte e quatro, com suas respectivas Receitas e Despesas, bem como o relatório de gestão de investimentos,</w:t>
      </w:r>
      <w:r w:rsidRPr="004F1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onde a rentabilidade da carteira foi de oitenta e dois centésimos por cento no mês. O patrimônio líquido do Instituto é quarenta e um milhões, duzentos e sessenta e nove mil, cento e sessenta e três reais com um centavo. Apresentou também informações relevantes sobre um novo produto de investimento, o fundo </w:t>
      </w:r>
      <w:r w:rsidRPr="00A30FA4">
        <w:rPr>
          <w:sz w:val="24"/>
          <w:szCs w:val="24"/>
        </w:rPr>
        <w:t>Rio Bravo Proteção Multimercado CNPJ 55.274.339/0001-78</w:t>
      </w:r>
      <w:r>
        <w:rPr>
          <w:sz w:val="24"/>
          <w:szCs w:val="24"/>
        </w:rPr>
        <w:t>, que foi analisado pela SMI Consultoria de Investimentos, e enquadra-se no artigo 10, I da Resolução 4963/2021 e como diferencial, dispõe de capital protegido.</w:t>
      </w:r>
      <w:r w:rsidR="00C708A1">
        <w:rPr>
          <w:sz w:val="24"/>
          <w:szCs w:val="24"/>
        </w:rPr>
        <w:t xml:space="preserve"> </w:t>
      </w:r>
      <w:r w:rsidR="006A1703">
        <w:rPr>
          <w:sz w:val="24"/>
          <w:szCs w:val="24"/>
        </w:rPr>
        <w:t>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  <w:bookmarkStart w:id="0" w:name="_GoBack"/>
      <w:bookmarkEnd w:id="0"/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323BA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4F198C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554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4EF9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3581B-E093-4E10-B412-6EC93DAC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2023-10-26T11:54:00Z</cp:lastPrinted>
  <dcterms:created xsi:type="dcterms:W3CDTF">2024-07-12T17:02:00Z</dcterms:created>
  <dcterms:modified xsi:type="dcterms:W3CDTF">2024-07-12T17:02:00Z</dcterms:modified>
</cp:coreProperties>
</file>