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782A4C" w:rsidRPr="007C52FF">
        <w:rPr>
          <w:b/>
          <w:sz w:val="24"/>
          <w:szCs w:val="24"/>
        </w:rPr>
        <w:t>2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F264C7">
        <w:rPr>
          <w:b/>
          <w:sz w:val="24"/>
          <w:szCs w:val="24"/>
        </w:rPr>
        <w:t>2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F264C7" w:rsidP="00044AB7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quatro</w:t>
      </w:r>
      <w:r w:rsidRPr="00C85B3F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1C75AA" w:rsidRPr="007C52FF">
        <w:rPr>
          <w:sz w:val="24"/>
          <w:szCs w:val="24"/>
        </w:rPr>
        <w:t xml:space="preserve">, às nove horas,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044AB7" w:rsidRPr="007C52FF">
        <w:rPr>
          <w:sz w:val="24"/>
          <w:szCs w:val="24"/>
        </w:rPr>
        <w:t>janeiro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="00CE1273">
        <w:rPr>
          <w:sz w:val="24"/>
          <w:szCs w:val="24"/>
        </w:rPr>
        <w:t xml:space="preserve">foi negativa no </w:t>
      </w:r>
      <w:r w:rsidR="00044AB7" w:rsidRPr="007C52FF">
        <w:rPr>
          <w:sz w:val="24"/>
          <w:szCs w:val="24"/>
        </w:rPr>
        <w:t xml:space="preserve">percentual de zero </w:t>
      </w:r>
      <w:r>
        <w:rPr>
          <w:sz w:val="24"/>
          <w:szCs w:val="24"/>
        </w:rPr>
        <w:t xml:space="preserve">vírgula </w:t>
      </w:r>
      <w:r>
        <w:rPr>
          <w:sz w:val="24"/>
          <w:szCs w:val="24"/>
        </w:rPr>
        <w:t>dezoito por cento no mês, totalizando trinta e dois milhões e duzentos e sessenta e dois mil e novecentos e sessenta e seis reais e vinte e seis centavos.</w:t>
      </w:r>
      <w:r w:rsidRPr="00B25527">
        <w:rPr>
          <w:sz w:val="24"/>
          <w:szCs w:val="24"/>
        </w:rPr>
        <w:t xml:space="preserve"> A meta no mês ficou em </w:t>
      </w:r>
      <w:r>
        <w:rPr>
          <w:sz w:val="24"/>
          <w:szCs w:val="24"/>
        </w:rPr>
        <w:t xml:space="preserve">um vírgula </w:t>
      </w:r>
      <w:r w:rsidRPr="00B25527">
        <w:rPr>
          <w:sz w:val="24"/>
          <w:szCs w:val="24"/>
        </w:rPr>
        <w:t xml:space="preserve">zero </w:t>
      </w:r>
      <w:r>
        <w:rPr>
          <w:sz w:val="24"/>
          <w:szCs w:val="24"/>
        </w:rPr>
        <w:t>sete</w:t>
      </w:r>
      <w:r w:rsidRPr="00B25527">
        <w:rPr>
          <w:sz w:val="24"/>
          <w:szCs w:val="24"/>
        </w:rPr>
        <w:t xml:space="preserve"> por cento, abaixo portanto, da rentabilidade esperada no período.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Após, foi exposto o Relatório de Governança de 20</w:t>
      </w:r>
      <w:r w:rsidR="007C52FF" w:rsidRPr="007C52FF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044AB7" w:rsidRPr="007C52FF">
        <w:rPr>
          <w:sz w:val="24"/>
          <w:szCs w:val="24"/>
        </w:rPr>
        <w:t xml:space="preserve"> e os Conselheiros, após exame, emitiram o Parecer nº 001/202</w:t>
      </w:r>
      <w:r>
        <w:rPr>
          <w:sz w:val="24"/>
          <w:szCs w:val="24"/>
        </w:rPr>
        <w:t>2</w:t>
      </w:r>
      <w:r w:rsidR="00044AB7" w:rsidRPr="007C52FF">
        <w:rPr>
          <w:sz w:val="24"/>
          <w:szCs w:val="24"/>
        </w:rPr>
        <w:t xml:space="preserve">, recomendando, por unanimidade, a aprovação da Prestação de Contas por refletir adequadamente a posição financeira e patrimonial da autarquia, para deliberação no Conselho Administrativo.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F264C7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DC87-E513-4AAE-9E34-10BF4FB2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2022-03-08T14:43:00Z</dcterms:created>
  <dcterms:modified xsi:type="dcterms:W3CDTF">2022-03-08T14:50:00Z</dcterms:modified>
</cp:coreProperties>
</file>