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0846A026" w:rsidR="00CD2511" w:rsidRDefault="009B02BE" w:rsidP="00224C30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 xml:space="preserve">ATA Nº </w:t>
      </w:r>
      <w:r w:rsidR="009B19AB" w:rsidRPr="00224C30">
        <w:rPr>
          <w:b/>
          <w:sz w:val="22"/>
          <w:szCs w:val="22"/>
        </w:rPr>
        <w:t>1</w:t>
      </w:r>
      <w:r w:rsidR="005C37C6">
        <w:rPr>
          <w:b/>
          <w:sz w:val="22"/>
          <w:szCs w:val="22"/>
        </w:rPr>
        <w:t>1</w:t>
      </w:r>
      <w:r w:rsidRPr="00224C30">
        <w:rPr>
          <w:b/>
          <w:sz w:val="22"/>
          <w:szCs w:val="22"/>
        </w:rPr>
        <w:t>/202</w:t>
      </w:r>
      <w:r w:rsidR="00C459BD" w:rsidRPr="00224C30">
        <w:rPr>
          <w:b/>
          <w:sz w:val="22"/>
          <w:szCs w:val="22"/>
        </w:rPr>
        <w:t>5</w:t>
      </w:r>
    </w:p>
    <w:p w14:paraId="00E2DDDE" w14:textId="77777777" w:rsidR="00224C30" w:rsidRPr="00224C30" w:rsidRDefault="00224C30" w:rsidP="00224C30">
      <w:pPr>
        <w:jc w:val="center"/>
        <w:rPr>
          <w:b/>
          <w:sz w:val="22"/>
          <w:szCs w:val="22"/>
        </w:rPr>
      </w:pPr>
    </w:p>
    <w:p w14:paraId="04F2262E" w14:textId="77777777" w:rsidR="001870CE" w:rsidRPr="00224C30" w:rsidRDefault="001870CE" w:rsidP="00AE5F48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>ATA DA REUNIÃO DO COMITÊ DE INVE</w:t>
      </w:r>
      <w:r w:rsidR="002861F3" w:rsidRPr="00224C30">
        <w:rPr>
          <w:b/>
          <w:sz w:val="22"/>
          <w:szCs w:val="22"/>
        </w:rPr>
        <w:t>STIMENTOS DO IPRESVEL</w:t>
      </w:r>
    </w:p>
    <w:p w14:paraId="117696AF" w14:textId="7C97EAB7" w:rsidR="00F42048" w:rsidRDefault="00F42048" w:rsidP="00F42048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F42048">
        <w:rPr>
          <w:sz w:val="22"/>
          <w:szCs w:val="22"/>
        </w:rPr>
        <w:t>Aos dezenove dias do mês de setembro do ano de dois mil e vinte e cinco, reuniram-se, em sessão ordinária, os membros do Comitê de Investimentos do Instituto, em conformidade com o Regimento Interno.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A sessão foi aberta pela Diretora-Executiva, Sra. Tânia Bortoli, que cumprimentou os presentes e apresentou o Relatório de Investimentos referente ao mês de agosto. O referido relatório registrou rentabilidade de 0,73% (setenta e três centésimos por cento), superando a meta estabelecida de 0,22% (vinte e dois centésimos por cento), com rendimentos de R$ 355.598,21 (trezentos e cinquenta e cinco mil, quinhentos e noventa e oito reais e vinte e um centavos). O montante acumulado em carteira alcançou R$ 49.196.444,62 (quarenta e nove milhões, cento e noventa e seis mil, quatrocentos e quarenta e quatro reais e sessenta e dois centavos).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Em seguida, procedeu-se à análise do cenário econômico, o qual apresentou sinais de desaceleração. O IBC-Br registrou retração, reflexo da queda na agropecuária e na indústria, com apenas leve avanço nos serviços. O varejo também mostrou desempenho enfraquecido, impactado pelo elevado custo do crédito e pela redução da confiança. No mercado de trabalho, a criação de vagas formais em julho ficou aquém das expectativas, configurando o pior resultado para o mês desde 2020. As empresas têm demonstrado cautela nas contratações, em razão dos juros elevados e do crescimento econômico mais moderado, o que limita a recuperação do consumo.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O maior desafio permanece sendo a desaceleração da inflação. Embora os núcleos apresentem sinais de recuo, os preços dos serviços continuam pressionados, exigindo manutenção da política monetária restritiva.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Nos mercados financeiros, o Ibovespa registrou forte valorização em agosto, impulsionado pela maior propensão ao risco global, pelo fechamento das taxas de juros nos Estados Unidos e pelos resultados corporativos do segundo trimestre, que superaram as expectativas. Houve, ainda, fechamento da curva de juros doméstica e valorização do real frente ao dólar. Apesar disso, as projeções seguem indicando inflação acima do teto da meta e manutenção da taxa Selic em 15% (quinze por cento).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Diante desse contexto econômico e considerando a atual conjuntura dos mercados, passou-se à análise da recomendação da Assessoria de Investimentos quanto à alocação de R$ 1.000.000,00 (um milhão de reais) na NTN-B 2040 e de R$ 1.000.000,00 (um milhão de reais) na NTN-B 2045, conforme Estudo de ALM.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Para viabilizar a operação, deliberou-se recomendar que, se aprovada, a alocação seja viabilizada mediante resgate dos seguintes recursos: Bradesco Premium Referenciado Renda Fixa, no montante de R$ 1.076.828,54 (um milhão, setenta e seis mil, oitocentos e vinte e oito reais e cinquenta e quatro centavos); Safra Referenciado DI Master, no valor de R$ 250.000,00 (duzentos e cinquenta mil reais); Santander FIC Premium Referenciado Institucional, no montante de R$ 300.000,00 (trezentos mil reais); XP MS FIC FIA Global Opportunities Advisory IE, no valor de R$ 250.000,00 (duzentos e cinquenta mil reais); BB FIA ESG BDR Nível I, no montante de R$ 45.000,00 (quarenta e cinco mil reais); Caixa FIA Institucional BDR Nível I, no valor de R$ 50.000,00 (cinquenta mil reais); e Safra FIA Consumo Americano PB BDR Nível I, no montante de R$ 25.000,00 (vinte e cinco mil reais).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A matéria seguirá para deliberação e aprovação do Conselho Administrativo.</w:t>
      </w:r>
      <w:r>
        <w:rPr>
          <w:sz w:val="22"/>
          <w:szCs w:val="22"/>
        </w:rPr>
        <w:t xml:space="preserve"> </w:t>
      </w:r>
      <w:r w:rsidRPr="00F42048">
        <w:rPr>
          <w:sz w:val="22"/>
          <w:szCs w:val="22"/>
        </w:rPr>
        <w:t>Nada mais havendo a tratar, a reunião foi encerrada, lavrando-se a presente ata, que será assinada pelos membros presentes.</w:t>
      </w:r>
      <w:r>
        <w:rPr>
          <w:sz w:val="22"/>
          <w:szCs w:val="22"/>
        </w:rPr>
        <w:t xml:space="preserve"> </w:t>
      </w:r>
    </w:p>
    <w:p w14:paraId="60124933" w14:textId="5F9926E9" w:rsidR="00DE7838" w:rsidRPr="00F42048" w:rsidRDefault="00DE7838" w:rsidP="00AE5F48">
      <w:pPr>
        <w:jc w:val="center"/>
        <w:rPr>
          <w:b/>
        </w:rPr>
      </w:pPr>
      <w:r w:rsidRPr="00F42048">
        <w:rPr>
          <w:b/>
        </w:rPr>
        <w:t>TÂNIA GIACOMIN DE BORTOLI</w:t>
      </w:r>
    </w:p>
    <w:p w14:paraId="5F590253" w14:textId="7401956B" w:rsidR="00480B49" w:rsidRPr="00F42048" w:rsidRDefault="00480B49" w:rsidP="00480B49">
      <w:pPr>
        <w:jc w:val="center"/>
      </w:pPr>
      <w:r w:rsidRPr="00F42048">
        <w:rPr>
          <w:rFonts w:ascii="Times" w:eastAsiaTheme="minorHAnsi" w:hAnsi="Times" w:cs="Times"/>
          <w:lang w:eastAsia="en-US"/>
        </w:rPr>
        <w:t>CP RPPS DIRIG I</w:t>
      </w:r>
      <w:r w:rsidR="00224C30" w:rsidRPr="00F42048">
        <w:rPr>
          <w:rFonts w:ascii="Times" w:eastAsiaTheme="minorHAnsi" w:hAnsi="Times" w:cs="Times"/>
          <w:lang w:eastAsia="en-US"/>
        </w:rPr>
        <w:t>/</w:t>
      </w:r>
      <w:r w:rsidRPr="00F42048">
        <w:rPr>
          <w:rFonts w:ascii="Times" w:eastAsiaTheme="minorHAnsi" w:hAnsi="Times" w:cs="Times"/>
          <w:lang w:eastAsia="en-US"/>
        </w:rPr>
        <w:t>CP RPPS CGINV I</w:t>
      </w:r>
      <w:r w:rsidR="00224C30" w:rsidRPr="00F42048">
        <w:rPr>
          <w:rFonts w:ascii="Times" w:eastAsiaTheme="minorHAnsi" w:hAnsi="Times" w:cs="Times"/>
          <w:lang w:eastAsia="en-US"/>
        </w:rPr>
        <w:t>/</w:t>
      </w:r>
      <w:r w:rsidRPr="00F42048">
        <w:t>ANBIMA CPA 20</w:t>
      </w:r>
    </w:p>
    <w:p w14:paraId="38400B40" w14:textId="77777777" w:rsidR="00E032C1" w:rsidRPr="00F42048" w:rsidRDefault="00E032C1" w:rsidP="00AE5F48">
      <w:pPr>
        <w:jc w:val="center"/>
      </w:pPr>
    </w:p>
    <w:p w14:paraId="0BFC5AD0" w14:textId="77777777" w:rsidR="00480B49" w:rsidRPr="00F42048" w:rsidRDefault="00480B49" w:rsidP="00480B49">
      <w:pPr>
        <w:jc w:val="center"/>
        <w:rPr>
          <w:b/>
        </w:rPr>
      </w:pPr>
      <w:r w:rsidRPr="00F42048">
        <w:rPr>
          <w:b/>
        </w:rPr>
        <w:t>SAMUEL MIRANDA FERREIRA</w:t>
      </w:r>
    </w:p>
    <w:p w14:paraId="5BD510FC" w14:textId="77777777" w:rsidR="00480B49" w:rsidRPr="00F42048" w:rsidRDefault="00480B49" w:rsidP="00480B49">
      <w:pPr>
        <w:jc w:val="center"/>
      </w:pPr>
      <w:r w:rsidRPr="00F42048">
        <w:rPr>
          <w:rFonts w:ascii="Times" w:eastAsiaTheme="minorHAnsi" w:hAnsi="Times" w:cs="Times"/>
          <w:lang w:eastAsia="en-US"/>
        </w:rPr>
        <w:t>CP RPPS CGINV I</w:t>
      </w:r>
    </w:p>
    <w:p w14:paraId="7AC6CED3" w14:textId="77777777" w:rsidR="00480B49" w:rsidRPr="00F42048" w:rsidRDefault="00480B49" w:rsidP="00480B49">
      <w:pPr>
        <w:jc w:val="center"/>
      </w:pPr>
    </w:p>
    <w:p w14:paraId="37F979A7" w14:textId="30259861" w:rsidR="00480B49" w:rsidRPr="00F42048" w:rsidRDefault="00056C17" w:rsidP="00480B49">
      <w:pPr>
        <w:jc w:val="center"/>
        <w:rPr>
          <w:b/>
        </w:rPr>
      </w:pPr>
      <w:r w:rsidRPr="00F42048">
        <w:rPr>
          <w:b/>
        </w:rPr>
        <w:t>MONALISA SCOLARO</w:t>
      </w:r>
    </w:p>
    <w:p w14:paraId="7BF954B1" w14:textId="233175DF" w:rsidR="00615A1E" w:rsidRPr="00F42048" w:rsidRDefault="00480B49" w:rsidP="00615A1E">
      <w:pPr>
        <w:jc w:val="center"/>
      </w:pPr>
      <w:r w:rsidRPr="00F42048">
        <w:t>Membro do Comitê de Investimentos</w:t>
      </w:r>
    </w:p>
    <w:sectPr w:rsidR="00615A1E" w:rsidRPr="00F42048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B05D3"/>
    <w:rsid w:val="00FB2260"/>
    <w:rsid w:val="00FB291A"/>
    <w:rsid w:val="00FB3F6C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5</cp:revision>
  <cp:lastPrinted>2025-08-18T19:11:00Z</cp:lastPrinted>
  <dcterms:created xsi:type="dcterms:W3CDTF">2025-09-25T13:55:00Z</dcterms:created>
  <dcterms:modified xsi:type="dcterms:W3CDTF">2025-09-29T14:13:00Z</dcterms:modified>
</cp:coreProperties>
</file>