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6A3EC0">
        <w:rPr>
          <w:b/>
          <w:sz w:val="24"/>
          <w:szCs w:val="24"/>
        </w:rPr>
        <w:t>3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sete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</w:t>
      </w:r>
      <w:r w:rsidR="006B2F80">
        <w:rPr>
          <w:sz w:val="24"/>
          <w:szCs w:val="24"/>
        </w:rPr>
        <w:t>l</w:t>
      </w:r>
      <w:r>
        <w:rPr>
          <w:sz w:val="24"/>
          <w:szCs w:val="24"/>
        </w:rPr>
        <w:t>ho</w:t>
      </w:r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6B2F80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ordinária. A Diretora-Executiva, Tânia Giacomin De</w:t>
      </w:r>
      <w:r w:rsidR="00755C8C">
        <w:rPr>
          <w:sz w:val="24"/>
          <w:szCs w:val="24"/>
        </w:rPr>
        <w:t xml:space="preserve"> Bortoli saudou a todos e explanou informações da reunião de cenário apresentada em 06/07/2023 pela Instituição Banco Safra S/A e alguns produtos de investimentos oferecidos bem como que os trâmites para abertura da conta na instituição </w:t>
      </w:r>
      <w:r w:rsidR="006A3EC0">
        <w:rPr>
          <w:sz w:val="24"/>
          <w:szCs w:val="24"/>
        </w:rPr>
        <w:t xml:space="preserve">que </w:t>
      </w:r>
      <w:r w:rsidR="00755C8C">
        <w:rPr>
          <w:sz w:val="24"/>
          <w:szCs w:val="24"/>
        </w:rPr>
        <w:t xml:space="preserve">estão finalizando. Seguindo na </w:t>
      </w:r>
      <w:r w:rsidR="007F56F7">
        <w:rPr>
          <w:sz w:val="24"/>
          <w:szCs w:val="24"/>
        </w:rPr>
        <w:t xml:space="preserve">exposição do cenário, apresentou recomendação da Caixa </w:t>
      </w:r>
      <w:r w:rsidR="006A3EC0">
        <w:rPr>
          <w:sz w:val="24"/>
          <w:szCs w:val="24"/>
        </w:rPr>
        <w:t>Econômica</w:t>
      </w:r>
      <w:r w:rsidR="007F56F7">
        <w:rPr>
          <w:sz w:val="24"/>
          <w:szCs w:val="24"/>
        </w:rPr>
        <w:t xml:space="preserve"> Federal, </w:t>
      </w:r>
      <w:r w:rsidR="00601F74">
        <w:rPr>
          <w:sz w:val="24"/>
          <w:szCs w:val="24"/>
        </w:rPr>
        <w:t xml:space="preserve">com </w:t>
      </w:r>
      <w:r w:rsidR="007F56F7">
        <w:rPr>
          <w:sz w:val="24"/>
          <w:szCs w:val="24"/>
        </w:rPr>
        <w:t>fundos de investimento também que aderem a carteira do Instituto perseguindo a meta e protegendo da inflação.</w:t>
      </w:r>
      <w:r w:rsidR="00601F74">
        <w:rPr>
          <w:sz w:val="24"/>
          <w:szCs w:val="24"/>
        </w:rPr>
        <w:t xml:space="preserve"> Optou-se pelos Fundos CAIXA FIC Brasil RF Ativa LP e SAFRA Cons. Americano PB FI Ações</w:t>
      </w:r>
      <w:r>
        <w:rPr>
          <w:sz w:val="24"/>
          <w:szCs w:val="24"/>
        </w:rPr>
        <w:t xml:space="preserve">. </w:t>
      </w:r>
      <w:r w:rsidR="006A3EC0">
        <w:rPr>
          <w:sz w:val="24"/>
          <w:szCs w:val="24"/>
        </w:rPr>
        <w:t xml:space="preserve">As alterações seguem para apreciação do Conselho Administrativo. </w:t>
      </w:r>
      <w:r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  <w:bookmarkStart w:id="0" w:name="_GoBack"/>
      <w:bookmarkEnd w:id="0"/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2E1A"/>
    <w:rsid w:val="00C16183"/>
    <w:rsid w:val="00C23C10"/>
    <w:rsid w:val="00C34E44"/>
    <w:rsid w:val="00C40AC5"/>
    <w:rsid w:val="00C47315"/>
    <w:rsid w:val="00C522A1"/>
    <w:rsid w:val="00C63012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4EA8-233C-4846-8B52-13BCBA7D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2023-06-22T14:50:00Z</cp:lastPrinted>
  <dcterms:created xsi:type="dcterms:W3CDTF">2023-08-18T19:26:00Z</dcterms:created>
  <dcterms:modified xsi:type="dcterms:W3CDTF">2023-08-18T19:26:00Z</dcterms:modified>
</cp:coreProperties>
</file>