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433108">
        <w:rPr>
          <w:b/>
          <w:sz w:val="24"/>
          <w:szCs w:val="24"/>
        </w:rPr>
        <w:t>8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trinta e um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 xml:space="preserve">a apresentar </w:t>
      </w:r>
      <w:r w:rsidRPr="00E66695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>abril,</w:t>
      </w:r>
      <w:r w:rsidRPr="00E66695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de um inteiro e dois </w:t>
      </w:r>
      <w:r w:rsidR="00E62420">
        <w:rPr>
          <w:sz w:val="24"/>
          <w:szCs w:val="24"/>
        </w:rPr>
        <w:t>centésimos</w:t>
      </w:r>
      <w:r>
        <w:rPr>
          <w:sz w:val="24"/>
          <w:szCs w:val="24"/>
        </w:rPr>
        <w:t xml:space="preserve"> por cento no mês, totalizando trinta e cinco milhões, novecentos e sessenta e quatro mil e quinhentos e oitenta e sete reais e oitenta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noventa e quatro décimos por cento</w:t>
      </w:r>
      <w:r w:rsidR="00E62420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carteira apresenta rentabilidade de quatro inteiros e quinze décimos por cento no ano. Na sequência, foi analisada a p</w:t>
      </w:r>
      <w:r w:rsidR="00E3760F">
        <w:rPr>
          <w:sz w:val="24"/>
          <w:szCs w:val="24"/>
        </w:rPr>
        <w:t>roposta de alteração d</w:t>
      </w:r>
      <w:r>
        <w:rPr>
          <w:sz w:val="24"/>
          <w:szCs w:val="24"/>
        </w:rPr>
        <w:t xml:space="preserve">a Lei </w:t>
      </w:r>
      <w:r w:rsidR="00E3760F">
        <w:rPr>
          <w:sz w:val="24"/>
          <w:szCs w:val="24"/>
        </w:rPr>
        <w:t>nº 1.463/2021, a qual dispõe sobre as d</w:t>
      </w:r>
      <w:r>
        <w:rPr>
          <w:sz w:val="24"/>
          <w:szCs w:val="24"/>
        </w:rPr>
        <w:t>iárias</w:t>
      </w:r>
      <w:r w:rsidR="00E3760F">
        <w:rPr>
          <w:sz w:val="24"/>
          <w:szCs w:val="24"/>
        </w:rPr>
        <w:t xml:space="preserve"> do Ipresvel, para que possibilite pagamento a todos os servidores designados a exercer funções na Autarquia, bem como aos membros nomeados nos Conselhos e Comitê de Investimentos. Os conselheiros aprovaram a proposta que segue para o Poder Executivo submeter à apreciação do Poder Legislativo Municipal.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761A44" w:rsidRPr="00C85B3F" w:rsidRDefault="00761A44" w:rsidP="00E80DEE">
      <w:pPr>
        <w:jc w:val="center"/>
        <w:rPr>
          <w:b/>
          <w:sz w:val="24"/>
          <w:szCs w:val="24"/>
        </w:rPr>
        <w:sectPr w:rsidR="00761A44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10F85" w:rsidRDefault="00710F85" w:rsidP="007B5DBF">
      <w:pPr>
        <w:jc w:val="center"/>
        <w:rPr>
          <w:sz w:val="24"/>
          <w:szCs w:val="24"/>
        </w:rPr>
      </w:pPr>
    </w:p>
    <w:p w:rsidR="00761A44" w:rsidRDefault="00761A44" w:rsidP="007B5DB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5DBF" w:rsidRPr="00DB1713" w:rsidRDefault="00761A44" w:rsidP="00761A4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</w:t>
      </w:r>
      <w:r w:rsidR="007B5DBF" w:rsidRPr="00DB1713">
        <w:rPr>
          <w:b/>
          <w:sz w:val="24"/>
          <w:szCs w:val="24"/>
        </w:rPr>
        <w:t>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lastRenderedPageBreak/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E62420" w:rsidRDefault="001B40D0" w:rsidP="001B40D0">
      <w:pPr>
        <w:jc w:val="center"/>
        <w:rPr>
          <w:sz w:val="24"/>
          <w:szCs w:val="24"/>
          <w:lang w:val="en-US"/>
        </w:rPr>
      </w:pPr>
      <w:r w:rsidRPr="00E62420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E62420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E62420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E62420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E62420" w:rsidRDefault="007B5DBF" w:rsidP="007B5DBF">
      <w:pPr>
        <w:jc w:val="center"/>
        <w:rPr>
          <w:b/>
          <w:sz w:val="24"/>
          <w:szCs w:val="24"/>
          <w:lang w:val="en-US"/>
        </w:rPr>
      </w:pPr>
      <w:r w:rsidRPr="00E62420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1A44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2420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C9604D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7074-F8BA-4BCB-AD4E-94457059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5</cp:revision>
  <cp:lastPrinted>2023-07-04T13:37:00Z</cp:lastPrinted>
  <dcterms:created xsi:type="dcterms:W3CDTF">2023-06-20T14:15:00Z</dcterms:created>
  <dcterms:modified xsi:type="dcterms:W3CDTF">2023-07-04T13:43:00Z</dcterms:modified>
</cp:coreProperties>
</file>