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8021" w14:textId="77777777" w:rsidR="00742DC1" w:rsidRPr="002A5916" w:rsidRDefault="00742DC1" w:rsidP="002A7A86">
      <w:pPr>
        <w:jc w:val="center"/>
        <w:rPr>
          <w:b/>
          <w:sz w:val="22"/>
          <w:szCs w:val="22"/>
        </w:rPr>
      </w:pPr>
    </w:p>
    <w:p w14:paraId="21A6FC5F" w14:textId="531AFA4A" w:rsidR="002A7A86" w:rsidRPr="002A5916" w:rsidRDefault="00CD2511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Nº </w:t>
      </w:r>
      <w:r w:rsidR="00A61A4F" w:rsidRPr="002A5916">
        <w:rPr>
          <w:b/>
          <w:sz w:val="22"/>
          <w:szCs w:val="22"/>
        </w:rPr>
        <w:t>10</w:t>
      </w:r>
      <w:r w:rsidR="007709F2" w:rsidRPr="002A5916">
        <w:rPr>
          <w:b/>
          <w:sz w:val="22"/>
          <w:szCs w:val="22"/>
        </w:rPr>
        <w:t>/</w:t>
      </w:r>
      <w:r w:rsidRPr="002A5916">
        <w:rPr>
          <w:b/>
          <w:sz w:val="22"/>
          <w:szCs w:val="22"/>
        </w:rPr>
        <w:t>20</w:t>
      </w:r>
      <w:r w:rsidR="001C75AA" w:rsidRPr="002A5916">
        <w:rPr>
          <w:b/>
          <w:sz w:val="22"/>
          <w:szCs w:val="22"/>
        </w:rPr>
        <w:t>2</w:t>
      </w:r>
      <w:r w:rsidR="00BE7BD8" w:rsidRPr="002A5916">
        <w:rPr>
          <w:b/>
          <w:sz w:val="22"/>
          <w:szCs w:val="22"/>
        </w:rPr>
        <w:t>5</w:t>
      </w:r>
    </w:p>
    <w:p w14:paraId="66772052" w14:textId="77777777" w:rsidR="002A5916" w:rsidRDefault="002A5916" w:rsidP="002A7A86">
      <w:pPr>
        <w:jc w:val="center"/>
        <w:rPr>
          <w:b/>
          <w:sz w:val="22"/>
          <w:szCs w:val="22"/>
        </w:rPr>
      </w:pPr>
    </w:p>
    <w:p w14:paraId="2E4C6BAD" w14:textId="1F78558F" w:rsidR="001870CE" w:rsidRPr="002A5916" w:rsidRDefault="002A7A86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DA REUNIÃO DO CONSELHO </w:t>
      </w:r>
      <w:r w:rsidR="00F22853" w:rsidRPr="002A5916">
        <w:rPr>
          <w:b/>
          <w:sz w:val="22"/>
          <w:szCs w:val="22"/>
        </w:rPr>
        <w:t>FISCAL</w:t>
      </w:r>
    </w:p>
    <w:p w14:paraId="1074A6C1" w14:textId="11D44EF5" w:rsidR="002A5916" w:rsidRPr="002A5916" w:rsidRDefault="002A5916" w:rsidP="002A5916">
      <w:pPr>
        <w:spacing w:before="100" w:beforeAutospacing="1" w:after="100" w:afterAutospacing="1"/>
        <w:jc w:val="both"/>
        <w:rPr>
          <w:sz w:val="22"/>
          <w:szCs w:val="22"/>
        </w:rPr>
      </w:pPr>
      <w:r w:rsidRPr="002A5916">
        <w:rPr>
          <w:sz w:val="22"/>
          <w:szCs w:val="22"/>
        </w:rPr>
        <w:t>Aos vinte e oito dias do mês de outubro do ano de dois mil e vinte e cinco, reuniram-se, em sessão ordinária, os membros do Conselho Fiscal do Instituto, em conformidade com o Regimento Interno. A sessão foi aberta pela Diretora-Executiva, Sra. Tânia Bortoli, que cumprimentou os presentes e deu início aos trabalhos, informando que a pauta única da reunião seria a análise do Relatório de Gestão de Investimentos referente ao mês de setembro de 2025.</w:t>
      </w:r>
      <w:r w:rsidRPr="002A5916">
        <w:rPr>
          <w:sz w:val="22"/>
          <w:szCs w:val="22"/>
        </w:rPr>
        <w:t xml:space="preserve"> </w:t>
      </w:r>
      <w:r w:rsidRPr="002A5916">
        <w:rPr>
          <w:sz w:val="22"/>
          <w:szCs w:val="22"/>
        </w:rPr>
        <w:t>O Relatório de Gestão, previamente disponibilizado aos conselheiros, registrou rentabilidade de 0,91% (noventa e um centésimos por cento) no mês, frente à meta atuarial de 0,95% (noventa e cinco centésimos por cento), ao INPC de 0,52% (cinquenta e dois centésimos por cento), ao IPCA de 0,48% (quarenta e oito centésimos por cento) e ao CDI de 1,22% (um inteiro e vinte e dois centésimos por cento). No acumulado do ano, a carteira alcançou 8,96% (oito inteiros e noventa e seis centésimos por cento), superando a meta atuarial de 7,66% (sete inteiros e sessenta e seis centésimos por cento). O patrimônio da carteira atingiu R$ 49.514.973,88 (quarenta e nove milhões, quinhentos e quatorze mil, novecentos e setenta e três reais e oitenta e oito centavos).</w:t>
      </w:r>
      <w:r w:rsidRPr="002A5916">
        <w:rPr>
          <w:sz w:val="22"/>
          <w:szCs w:val="22"/>
        </w:rPr>
        <w:t xml:space="preserve"> </w:t>
      </w:r>
      <w:r w:rsidRPr="002A5916">
        <w:rPr>
          <w:sz w:val="22"/>
          <w:szCs w:val="22"/>
        </w:rPr>
        <w:t>Na composição por segmento, destacou-se a predominância de títulos públicos indexados ao IPCA, que representaram cerca de 70% (setenta por cento) da carteira, seguidos por fundos de renda fixa, ativos de crédito privado (letras financeiras), fundos multimercado, fundos de renda variável e investimento no exterior. Verificou-se, ainda, que a carteira permaneceu integralmente enquadrada à Resolução CMN nº 4.963/2021 e à Política de Investimentos 2025, observando os limites por segmento, gestor e fundo, bem como os critérios de segurança, rentabilidade, liquidez e diversificação.</w:t>
      </w:r>
      <w:r w:rsidRPr="002A5916">
        <w:rPr>
          <w:sz w:val="22"/>
          <w:szCs w:val="22"/>
        </w:rPr>
        <w:t xml:space="preserve"> </w:t>
      </w:r>
      <w:r w:rsidRPr="002A5916">
        <w:rPr>
          <w:sz w:val="22"/>
          <w:szCs w:val="22"/>
        </w:rPr>
        <w:t>Em relação ao cenário econômico, foram registrados os principais pontos constantes do relatório, entre eles: (i) início do ciclo de cortes de juros pelo Federal Reserve, ainda em ritmo cauteloso, diante de inflação acima da meta e sinais de desaceleração do mercado de trabalho norte-americano; (ii) ambiente internacional relativamente favorável a ativos de risco, com bolsas em alta e juros globais contidos; (iii) na Europa, recuperação lenta, com inflação mais próxima da meta, mas indústria fragilizada e riscos geopolíticos; (iv) na China, esforços adicionais de estímulo para sustentar o crescimento, em contexto de consumo interno fraco e inflação muito baixa; e (v) no Brasil, manutenção da taxa Selic em patamar elevado, com atividade econômica em desaceleração, inflação em processo gradual de convergência à meta e mercado de trabalho ainda resiliente, fatores que influenciam a dinâmica da curva de juros e dos ativos de renda variável.</w:t>
      </w:r>
      <w:r w:rsidRPr="002A5916">
        <w:rPr>
          <w:sz w:val="22"/>
          <w:szCs w:val="22"/>
        </w:rPr>
        <w:t xml:space="preserve"> </w:t>
      </w:r>
      <w:r w:rsidRPr="002A5916">
        <w:rPr>
          <w:sz w:val="22"/>
          <w:szCs w:val="22"/>
        </w:rPr>
        <w:t>Após discussão, o Conselho Fiscal manifestou-se favorável ao Relatório de Gestão de Investimentos de setembro de 2025, registrando que a rentabilidade, embora ligeiramente abaixo da meta no mês, permanece compatível com a política de investimentos e com o perfil de risco do Instituto no acumulado do ano, e que a carteira segue adequadamente diversificada e enquadrada à legislação vigente</w:t>
      </w:r>
      <w:r w:rsidR="002D3A46">
        <w:rPr>
          <w:sz w:val="22"/>
          <w:szCs w:val="22"/>
        </w:rPr>
        <w:t>.</w:t>
      </w:r>
      <w:r w:rsidRPr="002A5916">
        <w:rPr>
          <w:sz w:val="22"/>
          <w:szCs w:val="22"/>
        </w:rPr>
        <w:t xml:space="preserve"> </w:t>
      </w:r>
      <w:r w:rsidRPr="002A5916">
        <w:rPr>
          <w:sz w:val="22"/>
          <w:szCs w:val="22"/>
        </w:rPr>
        <w:t>Não havendo outras matérias a tratar, a reunião foi encerrada, lavrando-se a presente ata, que será assinada pelos membros presentes.</w:t>
      </w:r>
    </w:p>
    <w:p w14:paraId="3C879BE6" w14:textId="77777777" w:rsidR="002A5916" w:rsidRPr="002A5916" w:rsidRDefault="002A5916" w:rsidP="002A5916">
      <w:pPr>
        <w:jc w:val="both"/>
        <w:rPr>
          <w:b/>
          <w:sz w:val="22"/>
          <w:szCs w:val="22"/>
        </w:rPr>
      </w:pPr>
    </w:p>
    <w:p w14:paraId="0ED16471" w14:textId="0D0C0F5B" w:rsidR="00832B6C" w:rsidRPr="002A5916" w:rsidRDefault="00832B6C" w:rsidP="00832B6C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>TÂNIA GIACOMIN DE BORTOLI</w:t>
      </w:r>
    </w:p>
    <w:p w14:paraId="31B918DE" w14:textId="1FFAA0A2" w:rsidR="00832B6C" w:rsidRPr="002A5916" w:rsidRDefault="00832B6C" w:rsidP="00832B6C">
      <w:pPr>
        <w:jc w:val="center"/>
        <w:rPr>
          <w:sz w:val="22"/>
          <w:szCs w:val="22"/>
        </w:rPr>
      </w:pPr>
      <w:r w:rsidRPr="002A5916">
        <w:rPr>
          <w:sz w:val="22"/>
          <w:szCs w:val="22"/>
        </w:rPr>
        <w:t>Diretora-Executiva e</w:t>
      </w:r>
      <w:r w:rsidR="00A56BA5" w:rsidRPr="002A5916">
        <w:rPr>
          <w:sz w:val="22"/>
          <w:szCs w:val="22"/>
        </w:rPr>
        <w:t xml:space="preserve"> </w:t>
      </w:r>
      <w:r w:rsidRPr="002A5916">
        <w:rPr>
          <w:sz w:val="22"/>
          <w:szCs w:val="22"/>
        </w:rPr>
        <w:t>Membro do Comitê de Investimentos</w:t>
      </w:r>
    </w:p>
    <w:p w14:paraId="7447FCD5" w14:textId="77777777" w:rsidR="004D74F4" w:rsidRPr="002A5916" w:rsidRDefault="004D74F4" w:rsidP="00832B6C">
      <w:pPr>
        <w:jc w:val="center"/>
        <w:rPr>
          <w:b/>
          <w:sz w:val="22"/>
          <w:szCs w:val="22"/>
        </w:rPr>
      </w:pPr>
    </w:p>
    <w:p w14:paraId="08BB6527" w14:textId="77777777" w:rsidR="00832B6C" w:rsidRPr="002A5916" w:rsidRDefault="00832B6C" w:rsidP="00832B6C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MARINÊS APARECIDA FREITAS PATEL </w:t>
      </w:r>
    </w:p>
    <w:p w14:paraId="41D290A1" w14:textId="68BFC959" w:rsidR="00315C34" w:rsidRPr="002A5916" w:rsidRDefault="00832B6C" w:rsidP="00832B6C">
      <w:pPr>
        <w:jc w:val="center"/>
        <w:rPr>
          <w:sz w:val="22"/>
          <w:szCs w:val="22"/>
        </w:rPr>
      </w:pPr>
      <w:r w:rsidRPr="002A5916">
        <w:rPr>
          <w:sz w:val="22"/>
          <w:szCs w:val="22"/>
        </w:rPr>
        <w:t>Presidente do Conselho Fiscal</w:t>
      </w:r>
      <w:r w:rsidR="00E5089B" w:rsidRPr="002A5916">
        <w:rPr>
          <w:sz w:val="22"/>
          <w:szCs w:val="22"/>
        </w:rPr>
        <w:t>/</w:t>
      </w:r>
      <w:r w:rsidR="00315C34" w:rsidRPr="002A5916">
        <w:rPr>
          <w:rFonts w:ascii="Times" w:eastAsiaTheme="minorHAnsi" w:hAnsi="Times" w:cs="Times"/>
          <w:sz w:val="22"/>
          <w:szCs w:val="22"/>
          <w:lang w:eastAsia="en-US"/>
        </w:rPr>
        <w:t>CP RPPS COFIS I</w:t>
      </w:r>
    </w:p>
    <w:p w14:paraId="085B3DC7" w14:textId="77777777" w:rsidR="008A1CCB" w:rsidRPr="002A5916" w:rsidRDefault="008A1CCB" w:rsidP="00832B6C">
      <w:pPr>
        <w:jc w:val="center"/>
        <w:rPr>
          <w:b/>
          <w:sz w:val="22"/>
          <w:szCs w:val="22"/>
        </w:rPr>
      </w:pPr>
    </w:p>
    <w:p w14:paraId="362962B5" w14:textId="77777777" w:rsidR="00832B6C" w:rsidRPr="002A5916" w:rsidRDefault="00832B6C" w:rsidP="00832B6C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>JULIANA PAULA CAMÍCIA BARBOZA</w:t>
      </w:r>
    </w:p>
    <w:p w14:paraId="186E8BCB" w14:textId="6CF12710" w:rsidR="00315C34" w:rsidRPr="002A5916" w:rsidRDefault="00832B6C" w:rsidP="00832B6C">
      <w:pPr>
        <w:jc w:val="center"/>
        <w:rPr>
          <w:sz w:val="22"/>
          <w:szCs w:val="22"/>
        </w:rPr>
      </w:pPr>
      <w:r w:rsidRPr="002A5916">
        <w:rPr>
          <w:sz w:val="22"/>
          <w:szCs w:val="22"/>
        </w:rPr>
        <w:t>Conselheira Fiscal</w:t>
      </w:r>
      <w:r w:rsidR="00E5089B" w:rsidRPr="002A5916">
        <w:rPr>
          <w:sz w:val="22"/>
          <w:szCs w:val="22"/>
        </w:rPr>
        <w:t>/</w:t>
      </w:r>
      <w:r w:rsidR="00315C34" w:rsidRPr="002A5916">
        <w:rPr>
          <w:rFonts w:ascii="Times" w:eastAsiaTheme="minorHAnsi" w:hAnsi="Times" w:cs="Times"/>
          <w:sz w:val="22"/>
          <w:szCs w:val="22"/>
          <w:lang w:eastAsia="en-US"/>
        </w:rPr>
        <w:t>CP RPPS COFIS I</w:t>
      </w:r>
    </w:p>
    <w:p w14:paraId="3F6A63A0" w14:textId="77777777" w:rsidR="008A1CCB" w:rsidRPr="002A5916" w:rsidRDefault="008A1CCB" w:rsidP="00832B6C">
      <w:pPr>
        <w:jc w:val="center"/>
        <w:rPr>
          <w:sz w:val="22"/>
          <w:szCs w:val="22"/>
        </w:rPr>
      </w:pPr>
    </w:p>
    <w:p w14:paraId="6F7CCDBC" w14:textId="77777777" w:rsidR="00832B6C" w:rsidRPr="002A5916" w:rsidRDefault="00832B6C" w:rsidP="00832B6C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>RUDIMAR CORNELLI</w:t>
      </w:r>
    </w:p>
    <w:p w14:paraId="21ED929F" w14:textId="77777777" w:rsidR="00EC4C93" w:rsidRPr="002A5916" w:rsidRDefault="00832B6C" w:rsidP="001311AF">
      <w:pPr>
        <w:jc w:val="center"/>
        <w:rPr>
          <w:sz w:val="22"/>
          <w:szCs w:val="22"/>
        </w:rPr>
      </w:pPr>
      <w:r w:rsidRPr="002A5916">
        <w:rPr>
          <w:sz w:val="22"/>
          <w:szCs w:val="22"/>
        </w:rPr>
        <w:t>Conselheiro Fiscal</w:t>
      </w:r>
    </w:p>
    <w:sectPr w:rsidR="00EC4C93" w:rsidRPr="002A5916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5916"/>
    <w:rsid w:val="002A7A86"/>
    <w:rsid w:val="002B7865"/>
    <w:rsid w:val="002C3E70"/>
    <w:rsid w:val="002C661F"/>
    <w:rsid w:val="002D1623"/>
    <w:rsid w:val="002D19D7"/>
    <w:rsid w:val="002D2E5F"/>
    <w:rsid w:val="002D3A46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0928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2DC1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56BA5"/>
    <w:rsid w:val="00A61A4F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AF0B55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C3D63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5089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4156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4</cp:revision>
  <cp:lastPrinted>2025-08-18T18:18:00Z</cp:lastPrinted>
  <dcterms:created xsi:type="dcterms:W3CDTF">2025-11-24T16:41:00Z</dcterms:created>
  <dcterms:modified xsi:type="dcterms:W3CDTF">2025-11-24T16:48:00Z</dcterms:modified>
</cp:coreProperties>
</file>